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4"/>
        <w:rPr>
          <w:szCs w:val="30"/>
        </w:rPr>
      </w:pPr>
      <w:r>
        <w:rPr>
          <w:szCs w:val="30"/>
        </w:rPr>
        <w:t xml:space="preserve">В нас</w:t>
      </w:r>
      <w:r>
        <w:rPr>
          <w:szCs w:val="30"/>
        </w:rPr>
        <w:t xml:space="preserve">тоящее время киберпреступность представляет серьезную угрозу для развития экономики и общества. За последние годы количество киберпреступлений значительно увеличилось, что требует принятия срочных мер для защиты информации и обеспечения кибербезопасности. </w:t>
      </w:r>
      <w:r>
        <w:rPr>
          <w:szCs w:val="30"/>
        </w:rPr>
      </w:r>
    </w:p>
    <w:p>
      <w:pPr>
        <w:pStyle w:val="678"/>
        <w:ind w:firstLine="697"/>
        <w:jc w:val="both"/>
        <w:spacing w:before="0" w:after="0" w:line="240" w:lineRule="auto"/>
        <w:shd w:val="clear" w:color="auto" w:fill="auto"/>
      </w:pPr>
      <w:r>
        <w:rPr>
          <w:sz w:val="30"/>
          <w:szCs w:val="30"/>
        </w:rPr>
        <w:t xml:space="preserve">По статистике женщины в 2 раза чаще становятся потерпевш</w:t>
      </w:r>
      <w:r>
        <w:rPr>
          <w:sz w:val="30"/>
          <w:szCs w:val="30"/>
        </w:rPr>
        <w:t xml:space="preserve">ими, чем мужчины. Абсолютное большинство проживает в городах. Люди с высшим в равной степени, как и со средним образованием, подвержены обману. Среди жертв киберпреступников, в основном, экономически активные граждане, представляющие практически все сферы </w:t>
      </w:r>
      <w:r>
        <w:rPr>
          <w:sz w:val="30"/>
          <w:szCs w:val="30"/>
        </w:rPr>
        <w:t xml:space="preserve">деятельности – бухгалтеры, экономисты, директоры, заместители директоров частных и государственных учреждений, начальники управлений и отделов госучреждений, педагоги, врачи и медсестры, студенты, юристы, программисты и представители других специальностей.</w:t>
      </w:r>
      <w:r/>
    </w:p>
    <w:p>
      <w:pPr>
        <w:pStyle w:val="664"/>
      </w:pPr>
      <w:r>
        <w:rPr>
          <w:szCs w:val="30"/>
        </w:rPr>
        <w:t xml:space="preserve">Мошенники регулярно меняют свои схемы обмана граждан, чтобы похитить их деньги. Основными формами обмана являются телефонное и интернет-мошенничество, а также фишинговые ресурсы.</w:t>
      </w:r>
      <w:r/>
    </w:p>
    <w:p>
      <w:pPr>
        <w:pStyle w:val="664"/>
        <w:rPr>
          <w:b/>
          <w:szCs w:val="30"/>
        </w:rPr>
      </w:pPr>
      <w:r>
        <w:rPr>
          <w:b/>
          <w:szCs w:val="30"/>
        </w:rPr>
      </w:r>
      <w:r>
        <w:rPr>
          <w:b/>
          <w:szCs w:val="30"/>
        </w:rPr>
      </w:r>
    </w:p>
    <w:p>
      <w:pPr>
        <w:pStyle w:val="664"/>
      </w:pPr>
      <w:r>
        <w:rPr>
          <w:b/>
          <w:szCs w:val="30"/>
        </w:rPr>
        <w:t xml:space="preserve">ТЕЛЕФОННОЕ МОШЕННИЧЕСТВО</w:t>
      </w:r>
      <w:r>
        <w:rPr>
          <w:b/>
        </w:rPr>
        <w:t xml:space="preserve"> – ВИШИНГ</w:t>
      </w:r>
      <w:r>
        <w:rPr>
          <w:b/>
          <w:szCs w:val="30"/>
        </w:rPr>
        <w:t xml:space="preserve"> </w:t>
      </w:r>
      <w:r/>
    </w:p>
    <w:p>
      <w:pPr>
        <w:pStyle w:val="664"/>
      </w:pPr>
      <w:r>
        <w:t xml:space="preserve">Мошенники под видом работников банка, операторов связи ил</w:t>
      </w:r>
      <w:r>
        <w:t xml:space="preserve">и государственных органов обращаются к гражданам, создают стрессовую ситуацию, сообщают о проблеме, а потом предлагают помощь в ее решении. При этом, чтобы войти в доверие, могут выслать фото служебных документов или даже выйти на видеосвязь в мессенджере.</w:t>
      </w:r>
      <w:r/>
    </w:p>
    <w:p>
      <w:pPr>
        <w:pStyle w:val="664"/>
      </w:pPr>
      <w:r>
        <w:t xml:space="preserve">Распространен способ, когда мошенники, используя различные вымышленные ситуации, убеждают потенциальных жертв загрузить направленный в мессенджере файл или установить </w:t>
      </w:r>
      <w:r>
        <w:rPr>
          <w:b/>
        </w:rPr>
        <w:t xml:space="preserve">определенное мобильное приложение</w:t>
      </w:r>
      <w:r>
        <w:t xml:space="preserve">. В обоих случаях мошенники получают возможность удаленно управлять устройством, на котором установлено. Таким образом они получают доступ к личным данным пользователей, в том числе имеют возможность оформить онлайн-кредит. Также злоумышленники убеждают </w:t>
      </w:r>
      <w:r>
        <w:rPr>
          <w:b/>
        </w:rPr>
        <w:t xml:space="preserve">оформить кредиты в банках</w:t>
      </w:r>
      <w:r>
        <w:t xml:space="preserve">, а деньги перевести на «защищенный» счет.</w:t>
      </w:r>
      <w:r/>
    </w:p>
    <w:p>
      <w:pPr>
        <w:pStyle w:val="664"/>
        <w:rPr>
          <w:u w:val="single"/>
        </w:rPr>
      </w:pPr>
      <w:r>
        <w:rPr>
          <w:u w:val="single"/>
        </w:rPr>
        <w:t xml:space="preserve">Всегда над</w:t>
      </w:r>
      <w:r>
        <w:rPr>
          <w:u w:val="single"/>
        </w:rPr>
        <w:t xml:space="preserve">о быть начеку и не доверять незнакомым, ни под каким предлогом не устанавливать непроверенные программы и файлы, полученные в мессенджере от неизвестных, не передавать кому бы то ни было деньги и не переводить их на банковские счета по указанию незнакомых.</w:t>
      </w:r>
      <w:r>
        <w:rPr>
          <w:u w:val="single"/>
        </w:rPr>
      </w:r>
    </w:p>
    <w:p>
      <w:pPr>
        <w:pStyle w:val="664"/>
      </w:pPr>
      <w:r>
        <w:rPr>
          <w:i/>
          <w:sz w:val="26"/>
          <w:szCs w:val="26"/>
        </w:rPr>
        <w:t xml:space="preserve">В течение нескольких дней женщине звонили с незнакомых номеров. В конечном итоге она согласилась выслуша</w:t>
      </w:r>
      <w:r>
        <w:rPr>
          <w:i/>
          <w:sz w:val="26"/>
          <w:szCs w:val="26"/>
        </w:rPr>
        <w:t xml:space="preserve">ть псевдоследователя. Он ошарашил ее тем, что с ее счета фиксируются незаконные операции на мошеннические счета и необходимо их предотвратить и установить злоумышленников. Женщина отказывалась верить ему, тогда с ней продолжил беседу по видеосвязи якобы ра</w:t>
      </w:r>
      <w:r>
        <w:rPr>
          <w:i/>
          <w:sz w:val="26"/>
          <w:szCs w:val="26"/>
        </w:rPr>
        <w:t xml:space="preserve">ботник одного известного банка, который был в деловой одежде с атрибутами банка. Женщина поверила звонившим и по их рекомендации установила приложение, которое позволило мошенникам видеть все происходящее на ее телефоне, в том числе смс-коды. В разговоре с</w:t>
      </w:r>
      <w:r>
        <w:rPr>
          <w:i/>
          <w:sz w:val="26"/>
          <w:szCs w:val="26"/>
        </w:rPr>
        <w:t xml:space="preserve"> лжебанкиром она назвала кодовое слово – девичью фамилию матери, а уже сообщники мошенников воспользовались этим и оформили на женщину овердрафт и онлайн-кредит прямо во время разговора и перевели их на свои счета. Всего у женщины похитили 18 тысяч рублей.</w:t>
      </w:r>
      <w:r/>
    </w:p>
    <w:p>
      <w:pPr>
        <w:pStyle w:val="66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9" behindDoc="1" locked="0" layoutInCell="0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837565</wp:posOffset>
                </wp:positionV>
                <wp:extent cx="2329815" cy="4408805"/>
                <wp:effectExtent l="0" t="0" r="0" b="0"/>
                <wp:wrapTight wrapText="bothSides">
                  <wp:wrapPolygon edited="1">
                    <wp:start x="-50" y="0"/>
                    <wp:lineTo x="-50" y="21571"/>
                    <wp:lineTo x="21600" y="21571"/>
                    <wp:lineTo x="21600" y="0"/>
                    <wp:lineTo x="-50" y="0"/>
                  </wp:wrapPolygon>
                </wp:wrapTight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-9" t="-5" r="-9" b="-4"/>
                        <a:stretch/>
                      </pic:blipFill>
                      <pic:spPr bwMode="auto">
                        <a:xfrm>
                          <a:off x="0" y="0"/>
                          <a:ext cx="2329815" cy="4408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9;o:allowoverlap:true;o:allowincell:false;mso-position-horizontal-relative:text;margin-left:290.00pt;mso-position-horizontal:absolute;mso-position-vertical-relative:text;margin-top:65.95pt;mso-position-vertical:absolute;width:183.45pt;height:347.15pt;mso-wrap-distance-left:9.05pt;mso-wrap-distance-top:0.00pt;mso-wrap-distance-right:9.05pt;mso-wrap-distance-bottom:0.00pt;" wrapcoords="-230 0 -230 99866 100000 99866 100000 0 -230 0" stroked="false">
                <v:path textboxrect="0,0,0,0"/>
                <w10:wrap type="tight"/>
                <v:imagedata r:id="rId13" o:title=""/>
              </v:shape>
            </w:pict>
          </mc:Fallback>
        </mc:AlternateContent>
      </w:r>
      <w:r>
        <w:t xml:space="preserve">Мошенники для совершения преступлений изучают свою жертву, собирают в сети Интернет данные о ней и ее интересах, окружении и прочем. Имея образец голоса или фото знакомых, могут создавать фейковые текстовые или видеосообщения.</w:t>
      </w:r>
      <w:r/>
    </w:p>
    <w:p>
      <w:pPr>
        <w:pStyle w:val="664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Например, в зарегистрировано несколько подобных фактов. В мессенджере мошенники создали учетную запись руководителя госорганизации и от его имени написали сотруднице, что поступили списки работников, которые подозреваются в финансировании </w:t>
      </w:r>
      <w:r>
        <w:rPr>
          <w:b/>
          <w:i/>
          <w:sz w:val="26"/>
          <w:szCs w:val="26"/>
        </w:rPr>
        <w:t xml:space="preserve">экстремистских</w:t>
      </w:r>
      <w:r>
        <w:rPr>
          <w:i/>
          <w:sz w:val="26"/>
          <w:szCs w:val="26"/>
        </w:rPr>
        <w:t xml:space="preserve"> формирований, и вскоре, возможно, в жилье женщины проведут обыск и </w:t>
      </w:r>
      <w:r>
        <w:rPr>
          <w:b/>
          <w:i/>
          <w:sz w:val="26"/>
          <w:szCs w:val="26"/>
        </w:rPr>
        <w:t xml:space="preserve">изымут незадекларированные</w:t>
      </w:r>
      <w:r>
        <w:rPr>
          <w:i/>
          <w:sz w:val="26"/>
          <w:szCs w:val="26"/>
        </w:rPr>
        <w:t xml:space="preserve"> денежные средства. Женщина очень испугалась за свои деньги, </w:t>
      </w:r>
      <w:r>
        <w:rPr>
          <w:i/>
          <w:sz w:val="26"/>
          <w:szCs w:val="26"/>
        </w:rPr>
        <w:t xml:space="preserve">потому что доверяла руководителю. Далее мошенники от имени ее руководителя предложили пообщаться с «начальником Департамента финансовых расследований» области, который в свою очередь связал ее со следователем. В течение трех дней женщина пребывала в страхе</w:t>
      </w:r>
      <w:r>
        <w:rPr>
          <w:i/>
          <w:sz w:val="26"/>
          <w:szCs w:val="26"/>
        </w:rPr>
        <w:t xml:space="preserve"> за свои сбережения. Чтобы сохранить их мошенники «посоветовали» перевести их на якобы специальный защищенный счет. Также женщина за неделю получила кредит, обналичила его и перевела на тот же счет. откуда вскоре все деньги в сумме 55 тысяч были похищены. </w:t>
      </w:r>
      <w:r>
        <w:rPr>
          <w:i/>
          <w:sz w:val="26"/>
          <w:szCs w:val="26"/>
        </w:rPr>
      </w:r>
    </w:p>
    <w:p>
      <w:pPr>
        <w:pStyle w:val="664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Аналогичные случаи зафиксированы в отношении педагогических работников всех областей, мошенники в мессенджере писали от имени директоров учебных заведений. В основном, мошенники убеждали учителей получить кредиты в банках.</w:t>
      </w:r>
      <w:r>
        <w:rPr>
          <w:i/>
          <w:sz w:val="26"/>
          <w:szCs w:val="26"/>
        </w:rPr>
      </w:r>
    </w:p>
    <w:p>
      <w:pPr>
        <w:pStyle w:val="664"/>
        <w:rPr>
          <w:u w:val="single"/>
        </w:rPr>
      </w:pPr>
      <w:r>
        <w:rPr>
          <w:u w:val="single"/>
        </w:rPr>
        <w:t xml:space="preserve">Чтобы не стать жертвой киберпреступника, как можно раньше закончите разговор с неизвестным лицом, кем бы он не представился.</w:t>
      </w:r>
      <w:r>
        <w:rPr>
          <w:u w:val="single"/>
        </w:rPr>
      </w:r>
    </w:p>
    <w:p>
      <w:pPr>
        <w:pStyle w:val="664"/>
        <w:rPr>
          <w:b/>
          <w:u w:val="single"/>
        </w:rPr>
      </w:pPr>
      <w:r>
        <w:rPr>
          <w:b/>
          <w:u w:val="single"/>
        </w:rPr>
      </w:r>
      <w:r>
        <w:rPr>
          <w:b/>
          <w:u w:val="single"/>
        </w:rPr>
      </w:r>
    </w:p>
    <w:p>
      <w:pPr>
        <w:pStyle w:val="664"/>
        <w:rPr>
          <w:b/>
        </w:rPr>
      </w:pPr>
      <w:r>
        <w:rPr>
          <w:b/>
        </w:rPr>
        <w:t xml:space="preserve">ИНВЕСТИЦИОННЫЕ ПЛАТФОРМЫ</w:t>
      </w:r>
      <w:r>
        <w:rPr>
          <w:b/>
        </w:rPr>
      </w:r>
    </w:p>
    <w:p>
      <w:pPr>
        <w:pStyle w:val="664"/>
      </w:pPr>
      <w:r>
        <w:t xml:space="preserve">Мошенники регулярно подбирают новые способы обмана, чтобы получить деньги. В сети Интернет размещают рекламу якобы </w:t>
      </w:r>
      <w:r>
        <w:rPr>
          <w:b/>
        </w:rPr>
        <w:t xml:space="preserve">инвестиционных платформ</w:t>
      </w:r>
      <w:r>
        <w:t xml:space="preserve">, которых на самом деле не существует, чтобы заманить вкладчиков и похитить их деньги. Первым шагом для связи с куратором является заполнение</w:t>
      </w:r>
      <w:r>
        <w:t xml:space="preserve"> формы, где необходимо оставить свои имя и телефон. Далее с заинтересовавшимся связывается так называемый куратор, под руководством которого в надежде заработать легкие деньги потенциальная жертва сама переводит деньги на электронный кошелек. Чтобы получит</w:t>
      </w:r>
      <w:r>
        <w:t xml:space="preserve">ь хотя бы вложенные деньги обратно, мошенники требуют заплатить комиссии, взносы и т.д. Некоторое время мошенники рисуют жертве прибыль, пока у обманутого человека не закончатся деньги, потом связь с ним прекращается. Деньги остаются на счетах мошенников. </w:t>
      </w:r>
      <w:r/>
    </w:p>
    <w:p>
      <w:pPr>
        <w:pStyle w:val="664"/>
        <w:rPr>
          <w:i/>
        </w:rPr>
      </w:pPr>
      <w:r>
        <w:rPr>
          <w:i/>
        </w:rPr>
        <w:t xml:space="preserve">Молодой мужчина заинтересовался возможностью в</w:t>
      </w:r>
      <w:r>
        <w:rPr>
          <w:i/>
        </w:rPr>
        <w:t xml:space="preserve">ложить свои деньги в инвестиционный проект. После того как он выполнил указания куратора и перевел деньги на цифровой кошелек, сумма его денег стала якобы увеличиваться, в своем аккаунте на платформе молодой человек видел прибыль, однако, как только он поп</w:t>
      </w:r>
      <w:r>
        <w:rPr>
          <w:i/>
        </w:rPr>
        <w:t xml:space="preserve">ытался вывести деньги, его сразу же заблокировали. Он дважды находил в интернете фирмы по оказанию помощи по выводу денег, однако ни одна «фирма» ему не оказала должных услуг, после чего мужчина обратился в милицию. Всего он потерял более 20 тысяч рублей. </w:t>
      </w:r>
      <w:r>
        <w:rPr>
          <w:i/>
        </w:rPr>
      </w:r>
    </w:p>
    <w:p>
      <w:pPr>
        <w:pStyle w:val="664"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p>
      <w:pPr>
        <w:pStyle w:val="664"/>
      </w:pPr>
      <w:r>
        <w:rPr>
          <w:b/>
        </w:rPr>
        <w:t xml:space="preserve">ФЕЙКОВЫЕ МАГАЗИНЫ в соцсетях</w:t>
      </w:r>
      <w:r>
        <w:t xml:space="preserve"> </w:t>
      </w:r>
      <w:r/>
    </w:p>
    <w:p>
      <w:pPr>
        <w:pStyle w:val="664"/>
      </w:pPr>
      <w:r>
        <w:t xml:space="preserve">Ежедневно в милицию обращаются и те, кто сами перевели </w:t>
      </w:r>
      <w:r>
        <w:rPr>
          <w:b/>
        </w:rPr>
        <w:t xml:space="preserve">предоплату за товар</w:t>
      </w:r>
      <w:r>
        <w:t xml:space="preserve">, который нашли в объявлениях в социальных сетях и на торговых площадках, и не получили его. Мошенники намеренно создают аккаунты от имени магазинов, в которых размещают объявления</w:t>
      </w:r>
      <w:r>
        <w:t xml:space="preserve"> несуществующих товаров с заниженными ценами (обувь, одежда, мобильные телефоны, постельное белье, автомобильные шины, новогодние ели, садовые кресла-качалки-коконы и другие товары). Потенциальный покупатель связывается с администратором «магазина» и обеща</w:t>
      </w:r>
      <w:r>
        <w:t xml:space="preserve">ет доставить товар после частичной или полной оплаты. Перевод денег предлагают произвести на банковскую карту или на счет через ЕРИП, что притупляет бдительность. После получения денежных средств, интернет-магазин товар не высылает, а покупателя блокирует.</w:t>
      </w:r>
      <w:r/>
    </w:p>
    <w:p>
      <w:pPr>
        <w:pStyle w:val="66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4"/>
        <w:rPr>
          <w:b/>
        </w:rPr>
      </w:pPr>
      <w:r>
        <w:rPr>
          <w:b/>
        </w:rPr>
        <w:t xml:space="preserve">ФИШИНГ </w:t>
      </w:r>
      <w:r>
        <w:rPr>
          <w:b/>
        </w:rPr>
      </w:r>
    </w:p>
    <w:p>
      <w:pPr>
        <w:pStyle w:val="664"/>
      </w:pPr>
      <w:r>
        <w:t xml:space="preserve">С целью получения личных данных владельцев счетов мошенники создают страницы-клоны сайтов банков, театров, кальянных и инвестиционных (торговых) бирж. </w:t>
      </w:r>
      <w:r/>
    </w:p>
    <w:p>
      <w:pPr>
        <w:pStyle w:val="664"/>
        <w:rPr>
          <w:i/>
        </w:rPr>
      </w:pPr>
      <w:r>
        <w:rPr>
          <w:i/>
        </w:rPr>
        <w:t xml:space="preserve">Молодая мама, находящаяся в декретном отпуске, перевела на предоставленный счет через ЕРИП 2 тысячи рублей за телефон, но не получила его. Тогда мошенники предложили ей получить свои деньги обратно на банковскую карту. Они</w:t>
      </w:r>
      <w:r>
        <w:rPr>
          <w:i/>
        </w:rPr>
        <w:t xml:space="preserve"> направили в мессенджере ссылку, перейдя по которой, девушка ввела в ячейки номер карты и секретный код с оборотной стороны, предназначенный только для расходных операций. Завладев этими сведениями, мошенники обманули ее еще раз, списав с карты все деньги.</w:t>
      </w:r>
      <w:r>
        <w:br w:type="page" w:clear="all"/>
      </w:r>
      <w:r>
        <w:rPr>
          <w:i/>
        </w:rPr>
      </w:r>
    </w:p>
    <w:p>
      <w:pPr>
        <w:pStyle w:val="664"/>
      </w:pPr>
      <w:r>
        <w:t xml:space="preserve">Для предотвращения подобного необходимо:</w:t>
      </w:r>
      <w:r/>
    </w:p>
    <w:p>
      <w:pPr>
        <w:pStyle w:val="664"/>
        <w:numPr>
          <w:ilvl w:val="0"/>
          <w:numId w:val="1"/>
        </w:numPr>
        <w:ind w:left="0" w:firstLine="709"/>
      </w:pPr>
      <w:r>
        <w:t xml:space="preserve">задуматься о причинах низкой цены на товар, отличающейся от цены за тот же товар на сайте или насторожиться почему у магазина на сайте указаны другие цены;</w:t>
      </w:r>
      <w:r/>
    </w:p>
    <w:p>
      <w:pPr>
        <w:pStyle w:val="664"/>
        <w:numPr>
          <w:ilvl w:val="0"/>
          <w:numId w:val="1"/>
        </w:numPr>
        <w:ind w:left="0" w:firstLine="709"/>
      </w:pPr>
      <w:r>
        <w:t xml:space="preserve">тщательно проверять информацию о магазине: связаться с продавцом по белорусскому номеру по мобильной связи, а не через Интернет;</w:t>
      </w:r>
      <w:r/>
    </w:p>
    <w:p>
      <w:pPr>
        <w:pStyle w:val="664"/>
        <w:numPr>
          <w:ilvl w:val="0"/>
          <w:numId w:val="1"/>
        </w:numPr>
        <w:ind w:left="0" w:firstLine="709"/>
      </w:pPr>
      <w:r>
        <w:t xml:space="preserve">использовать отдельную карту для расчетов в сети Интернет;</w:t>
      </w:r>
      <w:r/>
    </w:p>
    <w:p>
      <w:pPr>
        <w:pStyle w:val="664"/>
        <w:numPr>
          <w:ilvl w:val="0"/>
          <w:numId w:val="1"/>
        </w:numPr>
        <w:ind w:left="0" w:firstLine="709"/>
      </w:pPr>
      <w:r>
        <w:t xml:space="preserve">не переходить по ссылкам от неизвестных вам лиц;</w:t>
      </w:r>
      <w:r/>
    </w:p>
    <w:p>
      <w:pPr>
        <w:pStyle w:val="664"/>
        <w:numPr>
          <w:ilvl w:val="0"/>
          <w:numId w:val="1"/>
        </w:numPr>
        <w:ind w:left="0" w:firstLine="709"/>
      </w:pPr>
      <w:r>
        <w:t xml:space="preserve">проверять адрес страницы, где вводите данные карты (для белорусских организаций в адресной строке должно быть так: «название сайта».</w:t>
      </w:r>
      <w:r>
        <w:rPr>
          <w:lang w:val="en-US"/>
        </w:rPr>
        <w:t xml:space="preserve">BY</w:t>
      </w:r>
      <w:r>
        <w:t xml:space="preserve">/«раздел сайта»);</w:t>
      </w:r>
      <w:r/>
    </w:p>
    <w:p>
      <w:pPr>
        <w:pStyle w:val="664"/>
        <w:numPr>
          <w:ilvl w:val="0"/>
          <w:numId w:val="1"/>
        </w:numPr>
        <w:ind w:left="0" w:firstLine="709"/>
      </w:pPr>
      <w:r>
        <w:t xml:space="preserve">подключить (проверить подключение) в настройках карты бесплатную услугу от банка «3-</w:t>
      </w:r>
      <w:r>
        <w:rPr>
          <w:lang w:val="en-US"/>
        </w:rPr>
        <w:t xml:space="preserve">D</w:t>
      </w:r>
      <w:r>
        <w:t xml:space="preserve"> </w:t>
      </w:r>
      <w:r>
        <w:rPr>
          <w:lang w:val="en-US"/>
        </w:rPr>
        <w:t xml:space="preserve">Secure</w:t>
      </w:r>
      <w:r>
        <w:t xml:space="preserve">» – это дополнительная защита от банка, которая предлагает ввести код, пришедший в смс-сообщении.</w:t>
      </w:r>
      <w:r/>
    </w:p>
    <w:p>
      <w:pPr>
        <w:pStyle w:val="66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0" behindDoc="0" locked="0" layoutInCell="0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523240</wp:posOffset>
                </wp:positionV>
                <wp:extent cx="2095500" cy="4530090"/>
                <wp:effectExtent l="0" t="0" r="0" b="0"/>
                <wp:wrapSquare wrapText="bothSides"/>
                <wp:docPr id="2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rcRect l="-5" t="-2" r="-4" b="-1"/>
                        <a:stretch/>
                      </pic:blipFill>
                      <pic:spPr bwMode="auto">
                        <a:xfrm>
                          <a:off x="0" y="0"/>
                          <a:ext cx="2095500" cy="453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0;o:allowoverlap:true;o:allowincell:false;mso-position-horizontal-relative:text;margin-left:315.45pt;mso-position-horizontal:absolute;mso-position-vertical-relative:text;margin-top:41.20pt;mso-position-vertical:absolute;width:165.00pt;height:356.70pt;mso-wrap-distance-left:9.05pt;mso-wrap-distance-top:0.00pt;mso-wrap-distance-right:9.05pt;mso-wrap-distance-bottom:0.00pt;" stroked="false">
                <v:path textboxrect="0,0,0,0"/>
                <w10:wrap type="square"/>
                <v:imagedata r:id="rId14" o:title=""/>
              </v:shape>
            </w:pict>
          </mc:Fallback>
        </mc:AlternateContent>
      </w:r>
      <w:r>
        <w:rPr>
          <w:b/>
        </w:rPr>
        <w:t xml:space="preserve">СВАТИНГ</w:t>
      </w:r>
      <w:r>
        <w:t xml:space="preserve"> </w:t>
      </w:r>
      <w:r/>
    </w:p>
    <w:p>
      <w:pPr>
        <w:pStyle w:val="664"/>
      </w:pPr>
      <w:r>
        <w:t xml:space="preserve">В молодежной игровой киберсреде распространяется тренд под названием «сватинг». Его суть заключается в том, чтобы создать неблагоприятную обстановку госорганам, нарушить режим их работы, или отомстить своему обидчику, создав для него проблемы с</w:t>
      </w:r>
      <w:r>
        <w:t xml:space="preserve"> правоохранительными органами. В 2024 году в республике выявлено 20, а за предыдущий год – 14 школьников, которые организовывали рассылку писем на электронные почтовые ящики организаций Беларуси и других стран с ложными сообщениями о минировании объектов. </w:t>
      </w:r>
      <w:r/>
    </w:p>
    <w:p>
      <w:pPr>
        <w:pStyle w:val="664"/>
      </w:pPr>
      <w:r>
        <w:t xml:space="preserve">Чаще всего установленные лица – несовершеннолетние, самому младшему сватеру 12 лет, все они намеренно использовали методы анонимизации и специальное программное обеспеч</w:t>
      </w:r>
      <w:r>
        <w:t xml:space="preserve">ение, как они думали, позволяющее скрыть следы. Подростки интересовались темой сватинга и в большинстве случаев знали, что за совершение данных деяний уголовная ответственность наступает с 14 лет и предусматривает наказание вплоть до 7 лет лишения свободы.</w:t>
      </w:r>
      <w:r>
        <w:br w:type="page" w:clear="all"/>
      </w:r>
      <w:r/>
    </w:p>
    <w:p>
      <w:pPr>
        <w:pStyle w:val="664"/>
      </w:pPr>
      <w:r/>
      <w:r/>
    </w:p>
    <w:p>
      <w:pPr>
        <w:pStyle w:val="664"/>
        <w:rPr>
          <w:b/>
          <w:szCs w:val="30"/>
        </w:rPr>
      </w:pPr>
      <w:r>
        <w:rPr>
          <w:b/>
          <w:szCs w:val="30"/>
        </w:rPr>
        <w:t xml:space="preserve">ВОВЛЕЧЕНИЕ В КИБЕРПРЕСТУПНОСТЬ </w:t>
      </w:r>
      <w:r>
        <w:rPr>
          <w:b/>
          <w:szCs w:val="30"/>
        </w:rPr>
      </w:r>
    </w:p>
    <w:p>
      <w:pPr>
        <w:pStyle w:val="678"/>
        <w:ind w:firstLine="697"/>
        <w:jc w:val="both"/>
        <w:spacing w:before="0" w:after="0" w:line="240" w:lineRule="auto"/>
        <w:shd w:val="clear" w:color="auto" w:fill="auto"/>
        <w:rPr>
          <w:sz w:val="30"/>
          <w:szCs w:val="30"/>
        </w:rPr>
      </w:pPr>
      <w:r>
        <w:rPr>
          <w:sz w:val="30"/>
          <w:szCs w:val="30"/>
        </w:rPr>
        <w:t xml:space="preserve">Для получения за границей похищенных денег, а также для запутывания «цифровых следов» мошенникам необходимо перевести их через промежуточные счета, открытые в белорусских банк</w:t>
      </w:r>
      <w:r>
        <w:rPr>
          <w:sz w:val="30"/>
          <w:szCs w:val="30"/>
        </w:rPr>
        <w:t xml:space="preserve">ах на подставных лиц, так называемых «дропов». Часто промежуточных счетов бывает более десятка. Имеются факты, когда полученные незаконным путем деньги проходили через 72 промежуточных банковских счета, доступ к которым мошенники покупали у их владельцев.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0" simplePos="0" relativeHeight="2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2110740" cy="6615430"/>
                <wp:effectExtent l="0" t="0" r="0" b="0"/>
                <wp:wrapSquare wrapText="bothSides"/>
                <wp:docPr id="3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110740" cy="6615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3324" w:type="dxa"/>
                              <w:tblInd w:w="0" w:type="dxa"/>
                              <w:tblLayout w:type="fixed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24"/>
                            </w:tblGrid>
                            <w:tr>
                              <w:tblPrEx/>
                              <w:trPr>
                                <w:trHeight w:val="1692"/>
                              </w:trPr>
                              <w:tc>
                                <w:tcPr>
                                  <w:tcW w:w="33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8"/>
                                    <w:jc w:val="both"/>
                                    <w:spacing w:before="0" w:after="0" w:line="240" w:lineRule="auto"/>
                                    <w:shd w:val="clear" w:color="auto" w:fill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1908810" cy="890270"/>
                                            <wp:effectExtent l="0" t="0" r="0" b="0"/>
                                            <wp:docPr id="4" name="Image2" descr="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" name="Image2" descr=""/>
                                                    <pic:cNvPicPr>
                                                      <a:picLocks noChangeAspect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15"/>
                                                    <a:srcRect l="-8" t="-17" r="-7" b="-16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08810" cy="89027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2" o:spid="_x0000_s2" type="#_x0000_t75" style="width:150.30pt;height:70.10pt;mso-wrap-distance-left:0.00pt;mso-wrap-distance-top:0.00pt;mso-wrap-distance-right:0.00pt;mso-wrap-distance-bottom:0.00pt;" stroked="false">
                                            <v:path textboxrect="0,0,0,0"/>
                                            <v:imagedata r:id="rId15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024"/>
                              </w:trPr>
                              <w:tc>
                                <w:tcPr>
                                  <w:tcW w:w="33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8"/>
                                    <w:jc w:val="both"/>
                                    <w:spacing w:before="0" w:after="0" w:line="240" w:lineRule="auto"/>
                                    <w:shd w:val="clear" w:color="auto" w:fill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1909445" cy="1027430"/>
                                            <wp:effectExtent l="0" t="0" r="0" b="0"/>
                                            <wp:docPr id="5" name="Image3" descr="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" name="Image3" descr=""/>
                                                    <pic:cNvPicPr>
                                                      <a:picLocks noChangeAspect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16"/>
                                                    <a:srcRect l="-8" t="-15" r="-7" b="-15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09445" cy="102743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3" o:spid="_x0000_s3" type="#_x0000_t75" style="width:150.35pt;height:80.90pt;mso-wrap-distance-left:0.00pt;mso-wrap-distance-top:0.00pt;mso-wrap-distance-right:0.00pt;mso-wrap-distance-bottom:0.00pt;" stroked="false">
                                            <v:path textboxrect="0,0,0,0"/>
                                            <v:imagedata r:id="rId16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jc w:val="both"/>
                                    <w:spacing w:before="0" w:after="0" w:line="240" w:lineRule="auto"/>
                                    <w:shd w:val="clear" w:color="auto" w:fill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024"/>
                              </w:trPr>
                              <w:tc>
                                <w:tcPr>
                                  <w:tcW w:w="33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8"/>
                                    <w:jc w:val="both"/>
                                    <w:spacing w:before="0" w:after="0" w:line="240" w:lineRule="auto"/>
                                    <w:shd w:val="clear" w:color="auto" w:fill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1936115" cy="1377315"/>
                                            <wp:effectExtent l="0" t="0" r="0" b="0"/>
                                            <wp:docPr id="6" name="Image4" descr="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6" name="Image4" descr=""/>
                                                    <pic:cNvPicPr>
                                                      <a:picLocks noChangeAspect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17"/>
                                                    <a:srcRect l="-8" t="-11" r="-7" b="-10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36115" cy="137731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4" o:spid="_x0000_s4" type="#_x0000_t75" style="width:152.45pt;height:108.45pt;mso-wrap-distance-left:0.00pt;mso-wrap-distance-top:0.00pt;mso-wrap-distance-right:0.00pt;mso-wrap-distance-bottom:0.00pt;" stroked="false">
                                            <v:path textboxrect="0,0,0,0"/>
                                            <v:imagedata r:id="rId17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jc w:val="both"/>
                                    <w:spacing w:before="0" w:after="0" w:line="240" w:lineRule="auto"/>
                                    <w:shd w:val="clear" w:color="auto" w:fill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024"/>
                              </w:trPr>
                              <w:tc>
                                <w:tcPr>
                                  <w:tcW w:w="33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8"/>
                                    <w:jc w:val="both"/>
                                    <w:spacing w:before="0" w:after="0" w:line="240" w:lineRule="auto"/>
                                    <w:shd w:val="clear" w:color="auto" w:fill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1939290" cy="869950"/>
                                            <wp:effectExtent l="0" t="0" r="0" b="0"/>
                                            <wp:docPr id="7" name="Image5" descr="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7" name="Image5" descr=""/>
                                                    <pic:cNvPicPr>
                                                      <a:picLocks noChangeAspect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18"/>
                                                    <a:srcRect l="-8" t="-18" r="-7" b="-18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39290" cy="8699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5" o:spid="_x0000_s5" type="#_x0000_t75" style="width:152.70pt;height:68.50pt;mso-wrap-distance-left:0.00pt;mso-wrap-distance-top:0.00pt;mso-wrap-distance-right:0.00pt;mso-wrap-distance-bottom:0.00pt;" stroked="false">
                                            <v:path textboxrect="0,0,0,0"/>
                                            <v:imagedata r:id="rId18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jc w:val="both"/>
                                    <w:spacing w:before="0" w:after="0" w:line="240" w:lineRule="auto"/>
                                    <w:shd w:val="clear" w:color="auto" w:fill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024"/>
                              </w:trPr>
                              <w:tc>
                                <w:tcPr>
                                  <w:tcW w:w="33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8"/>
                                    <w:jc w:val="both"/>
                                    <w:spacing w:before="0" w:after="0" w:line="240" w:lineRule="auto"/>
                                    <w:shd w:val="clear" w:color="auto" w:fill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1972945" cy="871855"/>
                                            <wp:effectExtent l="0" t="0" r="0" b="0"/>
                                            <wp:docPr id="8" name="Image6" descr="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8" name="Image6" descr=""/>
                                                    <pic:cNvPicPr>
                                                      <a:picLocks noChangeAspect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19"/>
                                                    <a:srcRect l="-8" t="-18" r="-7" b="-18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72945" cy="87185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6" o:spid="_x0000_s6" type="#_x0000_t75" style="width:155.35pt;height:68.65pt;mso-wrap-distance-left:0.00pt;mso-wrap-distance-top:0.00pt;mso-wrap-distance-right:0.00pt;mso-wrap-distance-bottom:0.00pt;" stroked="false">
                                            <v:path textboxrect="0,0,0,0"/>
                                            <v:imagedata r:id="rId19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  <w:p>
                                  <w:pPr>
                                    <w:pStyle w:val="678"/>
                                    <w:jc w:val="both"/>
                                    <w:spacing w:before="0" w:after="0" w:line="240" w:lineRule="auto"/>
                                    <w:shd w:val="clear" w:color="auto" w:fill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024"/>
                              </w:trPr>
                              <w:tc>
                                <w:tcPr>
                                  <w:tcW w:w="33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78"/>
                                    <w:jc w:val="both"/>
                                    <w:spacing w:before="0" w:after="0" w:line="240" w:lineRule="auto"/>
                                    <w:shd w:val="clear" w:color="auto" w:fill="auto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1921510" cy="927100"/>
                                            <wp:effectExtent l="0" t="0" r="0" b="0"/>
                                            <wp:docPr id="9" name="Image7" descr="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9" name="Image7" descr=""/>
                                                    <pic:cNvPicPr>
                                                      <a:picLocks noChangeAspect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20"/>
                                                    <a:srcRect l="-8" t="-16" r="-7" b="-16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21510" cy="9271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7" o:spid="_x0000_s7" type="#_x0000_t75" style="width:151.30pt;height:73.00pt;mso-wrap-distance-left:0.00pt;mso-wrap-distance-top:0.00pt;mso-wrap-distance-right:0.00pt;mso-wrap-distance-bottom:0.00pt;" stroked="false">
                                            <v:path textboxrect="0,0,0,0"/>
                                            <v:imagedata r:id="rId20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202" type="#_x0000_t202" style="position:absolute;z-index:2;o:allowoverlap:true;o:allowincell:false;mso-position-horizontal-relative:margin;mso-position-horizontal:right;mso-position-vertical-relative:text;margin-top:10.00pt;mso-position-vertical:absolute;width:166.20pt;height:520.90pt;mso-wrap-distance-left:9.05pt;mso-wrap-distance-top:0.00pt;mso-wrap-distance-right:0.00pt;mso-wrap-distance-bottom:0.00pt;v-text-anchor:top;visibility:visible;" fillcolor="#FFFFFF">
                <v:fill opacity="100f"/>
                <w10:wrap type="square"/>
                <v:textbox inset="0,0,0,0">
                  <w:txbxContent>
                    <w:tbl>
                      <w:tblPr>
                        <w:tblW w:w="3324" w:type="dxa"/>
                        <w:tblInd w:w="0" w:type="dxa"/>
                        <w:tblLayout w:type="fixed"/>
                        <w:tblCellMar>
                          <w:left w:w="108" w:type="dxa"/>
                          <w:top w:w="0" w:type="dxa"/>
                          <w:right w:w="108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24"/>
                      </w:tblGrid>
                      <w:tr>
                        <w:tblPrEx/>
                        <w:trPr>
                          <w:trHeight w:val="1692"/>
                        </w:trPr>
                        <w:tc>
                          <w:tcPr>
                            <w:tcW w:w="33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8"/>
                              <w:jc w:val="both"/>
                              <w:spacing w:before="0" w:after="0" w:line="240" w:lineRule="auto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1908810" cy="890270"/>
                                      <wp:effectExtent l="0" t="0" r="0" b="0"/>
                                      <wp:docPr id="4" name="Image2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2" descr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5"/>
                                              <a:srcRect l="-8" t="-17" r="-7" b="-1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8810" cy="8902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2" o:spid="_x0000_s2" type="#_x0000_t75" style="width:150.30pt;height:70.10pt;mso-wrap-distance-left:0.00pt;mso-wrap-distance-top:0.00pt;mso-wrap-distance-right:0.00pt;mso-wrap-distance-bottom:0.00pt;" stroked="false">
                                      <v:path textboxrect="0,0,0,0"/>
                                      <v:imagedata r:id="rId15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024"/>
                        </w:trPr>
                        <w:tc>
                          <w:tcPr>
                            <w:tcW w:w="33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8"/>
                              <w:jc w:val="both"/>
                              <w:spacing w:before="0" w:after="0" w:line="240" w:lineRule="auto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1909445" cy="1027430"/>
                                      <wp:effectExtent l="0" t="0" r="0" b="0"/>
                                      <wp:docPr id="5" name="Image3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3" descr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6"/>
                                              <a:srcRect l="-8" t="-15" r="-7" b="-15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9445" cy="1027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3" o:spid="_x0000_s3" type="#_x0000_t75" style="width:150.35pt;height:80.90pt;mso-wrap-distance-left:0.00pt;mso-wrap-distance-top:0.00pt;mso-wrap-distance-right:0.00pt;mso-wrap-distance-bottom:0.00pt;" stroked="false">
                                      <v:path textboxrect="0,0,0,0"/>
                                      <v:imagedata r:id="rId16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678"/>
                              <w:jc w:val="both"/>
                              <w:spacing w:before="0" w:after="0" w:line="240" w:lineRule="auto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024"/>
                        </w:trPr>
                        <w:tc>
                          <w:tcPr>
                            <w:tcW w:w="33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8"/>
                              <w:jc w:val="both"/>
                              <w:spacing w:before="0" w:after="0" w:line="240" w:lineRule="auto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1936115" cy="1377315"/>
                                      <wp:effectExtent l="0" t="0" r="0" b="0"/>
                                      <wp:docPr id="6" name="Image4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Image4" descr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7"/>
                                              <a:srcRect l="-8" t="-11" r="-7" b="-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36115" cy="13773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4" o:spid="_x0000_s4" type="#_x0000_t75" style="width:152.45pt;height:108.45pt;mso-wrap-distance-left:0.00pt;mso-wrap-distance-top:0.00pt;mso-wrap-distance-right:0.00pt;mso-wrap-distance-bottom:0.00pt;" stroked="false">
                                      <v:path textboxrect="0,0,0,0"/>
                                      <v:imagedata r:id="rId17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678"/>
                              <w:jc w:val="both"/>
                              <w:spacing w:before="0" w:after="0" w:line="240" w:lineRule="auto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024"/>
                        </w:trPr>
                        <w:tc>
                          <w:tcPr>
                            <w:tcW w:w="33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8"/>
                              <w:jc w:val="both"/>
                              <w:spacing w:before="0" w:after="0" w:line="240" w:lineRule="auto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1939290" cy="869950"/>
                                      <wp:effectExtent l="0" t="0" r="0" b="0"/>
                                      <wp:docPr id="7" name="Image5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7" name="Image5" descr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8"/>
                                              <a:srcRect l="-8" t="-18" r="-7" b="-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39290" cy="8699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5" o:spid="_x0000_s5" type="#_x0000_t75" style="width:152.70pt;height:68.50pt;mso-wrap-distance-left:0.00pt;mso-wrap-distance-top:0.00pt;mso-wrap-distance-right:0.00pt;mso-wrap-distance-bottom:0.00pt;" stroked="false">
                                      <v:path textboxrect="0,0,0,0"/>
                                      <v:imagedata r:id="rId18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678"/>
                              <w:jc w:val="both"/>
                              <w:spacing w:before="0" w:after="0" w:line="240" w:lineRule="auto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024"/>
                        </w:trPr>
                        <w:tc>
                          <w:tcPr>
                            <w:tcW w:w="33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8"/>
                              <w:jc w:val="both"/>
                              <w:spacing w:before="0" w:after="0" w:line="240" w:lineRule="auto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1972945" cy="871855"/>
                                      <wp:effectExtent l="0" t="0" r="0" b="0"/>
                                      <wp:docPr id="8" name="Image6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" name="Image6" descr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9"/>
                                              <a:srcRect l="-8" t="-18" r="-7" b="-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72945" cy="8718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6" o:spid="_x0000_s6" type="#_x0000_t75" style="width:155.35pt;height:68.65pt;mso-wrap-distance-left:0.00pt;mso-wrap-distance-top:0.00pt;mso-wrap-distance-right:0.00pt;mso-wrap-distance-bottom:0.00pt;" stroked="false">
                                      <v:path textboxrect="0,0,0,0"/>
                                      <v:imagedata r:id="rId19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678"/>
                              <w:jc w:val="both"/>
                              <w:spacing w:before="0" w:after="0" w:line="240" w:lineRule="auto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024"/>
                        </w:trPr>
                        <w:tc>
                          <w:tcPr>
                            <w:tcW w:w="33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78"/>
                              <w:jc w:val="both"/>
                              <w:spacing w:before="0" w:after="0" w:line="240" w:lineRule="auto"/>
                              <w:shd w:val="clear" w:color="auto" w:fill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1921510" cy="927100"/>
                                      <wp:effectExtent l="0" t="0" r="0" b="0"/>
                                      <wp:docPr id="9" name="Image7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" name="Image7" descr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20"/>
                                              <a:srcRect l="-8" t="-16" r="-7" b="-1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21510" cy="927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7" o:spid="_x0000_s7" type="#_x0000_t75" style="width:151.30pt;height:73.00pt;mso-wrap-distance-left:0.00pt;mso-wrap-distance-top:0.00pt;mso-wrap-distance-right:0.00pt;mso-wrap-distance-bottom:0.00pt;" stroked="false">
                                      <v:path textboxrect="0,0,0,0"/>
                                      <v:imagedata r:id="rId2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</w:r>
                          </w:p>
                        </w:tc>
                      </w:tr>
                    </w:tbl>
                    <w:p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</w:r>
    </w:p>
    <w:p>
      <w:pPr>
        <w:pStyle w:val="678"/>
        <w:ind w:firstLine="697"/>
        <w:jc w:val="both"/>
        <w:spacing w:before="0" w:after="0" w:line="240" w:lineRule="auto"/>
        <w:shd w:val="clear" w:color="auto" w:fill="auto"/>
        <w:rPr>
          <w:sz w:val="30"/>
          <w:szCs w:val="30"/>
        </w:rPr>
      </w:pPr>
      <w:r>
        <w:rPr>
          <w:sz w:val="30"/>
          <w:szCs w:val="30"/>
        </w:rPr>
        <w:t xml:space="preserve">В нашей стране открыть банковский счет может дееспособный гражданин с 14 лет, то есть даже несовершеннолетние могут открыть банковские счета. Этим в своих целях пользуются преступники. Находясь за границей, злоумы</w:t>
      </w:r>
      <w:r>
        <w:rPr>
          <w:sz w:val="30"/>
          <w:szCs w:val="30"/>
        </w:rPr>
        <w:t xml:space="preserve">шленники подбирают лиц, которые согласятся открыть банковский счет на свое имя и продать за небольшую сумму реквизиты доступа к нему – это логины и пароли для входа в личный кабинет в интернет-банкинге, а также предоставить разовый смс-код или карту кодов.</w:t>
      </w:r>
      <w:r>
        <w:rPr>
          <w:sz w:val="30"/>
          <w:szCs w:val="30"/>
        </w:rPr>
      </w:r>
    </w:p>
    <w:p>
      <w:pPr>
        <w:pStyle w:val="678"/>
        <w:ind w:firstLine="697"/>
        <w:jc w:val="both"/>
        <w:spacing w:before="0" w:after="0" w:line="240" w:lineRule="auto"/>
        <w:shd w:val="clear" w:color="auto" w:fill="auto"/>
      </w:pPr>
      <w:r>
        <w:rPr>
          <w:sz w:val="30"/>
          <w:szCs w:val="30"/>
        </w:rPr>
        <w:t xml:space="preserve">Напрямую мошенники в интернете не могут размещать объявления о поиске таких лиц, поэтому свой интерес они прикрывают предложением различного другого заработка, не вызывающего подозрения. Например, в </w:t>
      </w:r>
      <w:r>
        <w:rPr>
          <w:sz w:val="30"/>
          <w:szCs w:val="30"/>
          <w:lang w:val="en-US"/>
        </w:rPr>
        <w:t xml:space="preserve">Telegram</w:t>
      </w:r>
      <w:r>
        <w:rPr>
          <w:sz w:val="30"/>
          <w:szCs w:val="30"/>
        </w:rPr>
        <w:t xml:space="preserve"> рассылают объявления о поиске курьеров в любом городе со стабильной оплатой труда, грузчиков, людей на вакансию «тайный покупатель», заманивают обещанием высокой и быстрой оплаты.</w:t>
      </w:r>
      <w:r/>
    </w:p>
    <w:p>
      <w:pPr>
        <w:pStyle w:val="678"/>
        <w:ind w:firstLine="697"/>
        <w:jc w:val="both"/>
        <w:spacing w:before="0" w:after="0" w:line="240" w:lineRule="auto"/>
        <w:shd w:val="clear" w:color="auto" w:fill="auto"/>
        <w:rPr>
          <w:sz w:val="30"/>
          <w:szCs w:val="30"/>
        </w:rPr>
      </w:pPr>
      <w:r>
        <w:rPr>
          <w:sz w:val="30"/>
          <w:szCs w:val="30"/>
        </w:rPr>
        <w:t xml:space="preserve">Чаще всего отзываются на такие вакансии лица с нестабильным или небольшим доходом, в большинстве – молод</w:t>
      </w:r>
      <w:r>
        <w:rPr>
          <w:sz w:val="30"/>
          <w:szCs w:val="30"/>
        </w:rPr>
        <w:t xml:space="preserve">ежь. Сначала инициатор объявления разочаровывает заинтересовавшегося подработкой, сообщает, что данная вакансия уже закрыта, и тут же предлагает иной вид заработка, например, оформить банковский счет и передать за вознаграждение данные для доступа к нему. </w:t>
      </w:r>
      <w:r>
        <w:rPr>
          <w:sz w:val="30"/>
          <w:szCs w:val="30"/>
        </w:rPr>
      </w:r>
    </w:p>
    <w:p>
      <w:pPr>
        <w:pStyle w:val="678"/>
        <w:ind w:firstLine="697"/>
        <w:jc w:val="both"/>
        <w:spacing w:before="0" w:after="0" w:line="240" w:lineRule="auto"/>
        <w:shd w:val="clear" w:color="auto" w:fill="auto"/>
        <w:rPr>
          <w:sz w:val="30"/>
          <w:szCs w:val="30"/>
        </w:rPr>
      </w:pPr>
      <w:r>
        <w:rPr>
          <w:sz w:val="30"/>
          <w:szCs w:val="30"/>
        </w:rPr>
        <w:t xml:space="preserve">Кроме похищенных киберпреступниками денег по промежуточным счетам также могут проводиться деньги, полученные от незаконного оборота наркотиков. Ответственность за происхождение прошедших по банковским счетам денег несут владельцы таких счетов.</w:t>
      </w:r>
      <w:r>
        <w:rPr>
          <w:sz w:val="30"/>
          <w:szCs w:val="30"/>
        </w:rPr>
      </w:r>
    </w:p>
    <w:p>
      <w:pPr>
        <w:pStyle w:val="678"/>
        <w:ind w:firstLine="697"/>
        <w:jc w:val="both"/>
        <w:spacing w:before="0" w:after="0" w:line="240" w:lineRule="auto"/>
        <w:shd w:val="clear" w:color="auto" w:fill="auto"/>
        <w:rPr>
          <w:sz w:val="30"/>
          <w:szCs w:val="30"/>
        </w:rPr>
      </w:pPr>
      <w:r>
        <w:rPr>
          <w:sz w:val="30"/>
          <w:szCs w:val="30"/>
        </w:rPr>
        <w:t xml:space="preserve">Надо знать, что в нашем законодательстве статьей 222 Уголовного кодекса пред</w:t>
      </w:r>
      <w:r>
        <w:rPr>
          <w:sz w:val="30"/>
          <w:szCs w:val="30"/>
        </w:rPr>
        <w:t xml:space="preserve">усмотрена ответственность вплоть до 10 лет лишения свободы за изготовление в целях сбыта либо сбыт банковских платежных карт или иных платежных инструментов, таких как банковские счета или электронные кошельки, а также распространение данных доступа к ним.</w:t>
      </w:r>
      <w:r>
        <w:rPr>
          <w:sz w:val="30"/>
          <w:szCs w:val="30"/>
        </w:rPr>
      </w:r>
    </w:p>
    <w:p>
      <w:pPr>
        <w:pStyle w:val="678"/>
        <w:ind w:firstLine="697"/>
        <w:jc w:val="both"/>
        <w:spacing w:before="0" w:after="0" w:line="240" w:lineRule="auto"/>
        <w:shd w:val="clear" w:color="auto" w:fill="auto"/>
      </w:pPr>
      <w:r>
        <w:rPr>
          <w:sz w:val="30"/>
          <w:szCs w:val="30"/>
        </w:rPr>
        <w:t xml:space="preserve">Имеются факты, когда в преступную деятельность были вовлечены несовершеннолетние.</w:t>
      </w:r>
      <w:r/>
    </w:p>
    <w:p>
      <w:pPr>
        <w:pStyle w:val="678"/>
        <w:ind w:firstLine="697"/>
        <w:jc w:val="both"/>
        <w:spacing w:before="0" w:after="0" w:line="240" w:lineRule="auto"/>
        <w:shd w:val="clear" w:color="auto" w:fill="auto"/>
      </w:pPr>
      <w:r>
        <w:rPr>
          <w:i/>
          <w:sz w:val="30"/>
          <w:szCs w:val="30"/>
        </w:rPr>
        <w:t xml:space="preserve">16 подростков из двух учреждений среднего специального образования небольшого города, связавшись с заказчиком из Интернета, оформляли на свое имя банковские карты и за вознаграждение от 15 до 50 рублей передавали их для использо</w:t>
      </w:r>
      <w:r>
        <w:rPr>
          <w:i/>
          <w:sz w:val="30"/>
          <w:szCs w:val="30"/>
        </w:rPr>
        <w:t xml:space="preserve">вания неустановленным лицам. С использованием этих банковских карт киберпреступники переводили похищенные деньги. В отношении 8 подростков возбуждены уголовные дела, в отношении остальных – проводится проверка и решается вопрос о возбуждении уголовных дел.</w:t>
      </w:r>
      <w:r/>
    </w:p>
    <w:p>
      <w:pPr>
        <w:pStyle w:val="678"/>
        <w:ind w:firstLine="697"/>
        <w:jc w:val="both"/>
        <w:spacing w:before="0"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Кроме этого, имеются примеры вовлечения подростков в преступную цепочку другим способом.</w:t>
      </w:r>
      <w:r>
        <w:rPr>
          <w:sz w:val="30"/>
          <w:szCs w:val="30"/>
        </w:rPr>
      </w:r>
    </w:p>
    <w:p>
      <w:pPr>
        <w:pStyle w:val="678"/>
        <w:ind w:firstLine="697"/>
        <w:jc w:val="both"/>
        <w:spacing w:before="0" w:after="0" w:line="240" w:lineRule="auto"/>
      </w:pPr>
      <w:r>
        <w:rPr>
          <w:i/>
          <w:sz w:val="30"/>
          <w:szCs w:val="30"/>
        </w:rPr>
        <w:t xml:space="preserve">14-летний ученик школы областного города попросил на некоторое время в пользование у своего 15-летнего одноклассника его банковскую платежную карту. Парень зарегистрировал аккаунт на криптовалютной бирже. Неизвестные лица связались с ним и предложили за</w:t>
      </w:r>
      <w:r>
        <w:rPr>
          <w:i/>
          <w:sz w:val="30"/>
          <w:szCs w:val="30"/>
        </w:rPr>
        <w:t xml:space="preserve">работать. Молодой человек предоставил реквизиты банковской карты одноклассника, на которую он получил 10 000 рублей, а после чего для заказчиков купил криптовалюту на всю сумму. В ходе проверки установлено, что полученные деньги были похищены у пенсионера.</w:t>
      </w:r>
      <w:r/>
    </w:p>
    <w:p>
      <w:pPr>
        <w:pStyle w:val="678"/>
        <w:ind w:firstLine="697"/>
        <w:jc w:val="both"/>
        <w:spacing w:before="0" w:after="0" w:line="240" w:lineRule="auto"/>
      </w:pPr>
      <w:r>
        <w:rPr>
          <w:sz w:val="30"/>
          <w:szCs w:val="30"/>
        </w:rPr>
        <w:t xml:space="preserve">Таким образом, школьник оказал услуги по покупке-продаже криптовалюты третьим лицам, что вл</w:t>
      </w:r>
      <w:r>
        <w:rPr>
          <w:sz w:val="30"/>
          <w:szCs w:val="30"/>
        </w:rPr>
        <w:t xml:space="preserve">ечет ответственность за незаконную предпринимательскую деятельность по ч. 3 ст. 13.3 КоАП Республики Беларусь. Совершение сделок на криптовалютной бирже подростками – не единичный случай. Через криптокошелек другого подростка прошло более 450 тысяч рублей.</w:t>
      </w:r>
      <w:r/>
    </w:p>
    <w:p>
      <w:pPr>
        <w:pStyle w:val="678"/>
        <w:ind w:firstLine="709"/>
        <w:jc w:val="both"/>
        <w:spacing w:before="0" w:after="0" w:line="240" w:lineRule="auto"/>
        <w:shd w:val="clear" w:color="auto" w:fill="auto"/>
        <w:rPr>
          <w:sz w:val="30"/>
          <w:szCs w:val="30"/>
        </w:rPr>
      </w:pPr>
      <w:r>
        <w:rPr>
          <w:sz w:val="30"/>
          <w:szCs w:val="30"/>
        </w:rPr>
        <w:t xml:space="preserve">За совершение сделок с криптовалютой в пользу третьих лиц грозит крупный штраф и обращение в доход государства до ста процентов суммы дохода, полученного в результате такой деятельности.</w:t>
      </w:r>
      <w:r>
        <w:rPr>
          <w:sz w:val="30"/>
          <w:szCs w:val="30"/>
        </w:rPr>
      </w:r>
    </w:p>
    <w:p>
      <w:pPr>
        <w:pStyle w:val="664"/>
        <w:ind w:left="2268" w:hanging="2268"/>
        <w:rPr>
          <w:rFonts w:eastAsia="Times New Roman"/>
          <w:color w:val="000000"/>
          <w:szCs w:val="30"/>
          <w:lang w:eastAsia="ru-RU"/>
        </w:rPr>
      </w:pPr>
      <w:r>
        <w:rPr>
          <w:rFonts w:eastAsia="Times New Roman"/>
          <w:color w:val="000000"/>
          <w:szCs w:val="30"/>
          <w:lang w:eastAsia="ru-RU"/>
        </w:rPr>
        <w:t xml:space="preserve">Приложение: листовка об ответственности.</w:t>
      </w:r>
      <w:r>
        <w:rPr>
          <w:rFonts w:eastAsia="Times New Roman"/>
          <w:color w:val="000000"/>
          <w:szCs w:val="30"/>
          <w:lang w:eastAsia="ru-RU"/>
        </w:rPr>
      </w:r>
    </w:p>
    <w:p>
      <w:pPr>
        <w:pStyle w:val="664"/>
        <w:rPr>
          <w:rFonts w:eastAsia="Times New Roman"/>
          <w:b/>
          <w:color w:val="000000"/>
          <w:szCs w:val="30"/>
          <w:lang w:eastAsia="ru-RU"/>
        </w:rPr>
      </w:pPr>
      <w:r>
        <w:rPr>
          <w:rFonts w:eastAsia="Times New Roman"/>
          <w:b/>
          <w:color w:val="000000"/>
          <w:szCs w:val="30"/>
          <w:lang w:eastAsia="ru-RU"/>
        </w:rPr>
      </w:r>
      <w:r>
        <w:rPr>
          <w:rFonts w:eastAsia="Times New Roman"/>
          <w:b/>
          <w:color w:val="000000"/>
          <w:szCs w:val="30"/>
          <w:lang w:eastAsia="ru-RU"/>
        </w:rPr>
      </w:r>
    </w:p>
    <w:p>
      <w:pPr>
        <w:pStyle w:val="664"/>
        <w:rPr>
          <w:rFonts w:eastAsia="Times New Roman"/>
          <w:b/>
          <w:color w:val="000000"/>
          <w:szCs w:val="30"/>
          <w:lang w:eastAsia="ru-RU"/>
        </w:rPr>
      </w:pPr>
      <w:r>
        <w:rPr>
          <w:rFonts w:eastAsia="Times New Roman"/>
          <w:b/>
          <w:color w:val="000000"/>
          <w:szCs w:val="30"/>
          <w:lang w:eastAsia="ru-RU"/>
        </w:rPr>
        <w:t xml:space="preserve">ОПЕРАЦИИ С КРИПТОВАЛЮТОЙ</w:t>
      </w:r>
      <w:r>
        <w:rPr>
          <w:rFonts w:eastAsia="Times New Roman"/>
          <w:b/>
          <w:color w:val="000000"/>
          <w:szCs w:val="30"/>
          <w:lang w:eastAsia="ru-RU"/>
        </w:rPr>
      </w:r>
    </w:p>
    <w:p>
      <w:pPr>
        <w:pStyle w:val="664"/>
        <w:rPr>
          <w:rFonts w:eastAsia="Times New Roman"/>
          <w:color w:val="000000"/>
          <w:szCs w:val="30"/>
          <w:lang w:eastAsia="ru-RU"/>
        </w:rPr>
      </w:pPr>
      <w:r>
        <w:rPr>
          <w:rFonts w:eastAsia="Times New Roman"/>
          <w:color w:val="000000"/>
          <w:szCs w:val="30"/>
          <w:lang w:eastAsia="ru-RU"/>
        </w:rPr>
        <w:t xml:space="preserve">Беларусь развивающаяся страна и граждане активнее пользуются цифровыми технологиями.</w:t>
      </w:r>
      <w:r>
        <w:rPr>
          <w:rFonts w:eastAsia="Times New Roman"/>
          <w:color w:val="000000"/>
          <w:szCs w:val="30"/>
          <w:lang w:eastAsia="ru-RU"/>
        </w:rPr>
      </w:r>
    </w:p>
    <w:p>
      <w:pPr>
        <w:pStyle w:val="664"/>
      </w:pPr>
      <w:r>
        <w:rPr>
          <w:rFonts w:eastAsia="Times New Roman"/>
          <w:color w:val="000000"/>
          <w:szCs w:val="30"/>
          <w:lang w:eastAsia="ru-RU"/>
        </w:rPr>
        <w:t xml:space="preserve">Порядок осуществления сделок с криптовалютой в настоящее время определен Указом Президента </w:t>
      </w:r>
      <w:r>
        <w:rPr>
          <w:szCs w:val="30"/>
        </w:rPr>
        <w:t xml:space="preserve">Республики Беларусь от 17 сентября 2024 г. № 367 «Об обращении цифровых знаков (токенов)» (далее – Указ № 367).</w:t>
      </w:r>
      <w:r/>
    </w:p>
    <w:p>
      <w:pPr>
        <w:pStyle w:val="664"/>
        <w:ind w:firstLine="720"/>
      </w:pPr>
      <w:r>
        <w:rPr>
          <w:szCs w:val="30"/>
        </w:rPr>
        <w:t xml:space="preserve">Указом № 367 установлена обязанность для физических лиц</w:t>
      </w:r>
      <w:r>
        <w:rPr>
          <w:szCs w:val="30"/>
        </w:rPr>
        <w:t xml:space="preserve"> совершать операции по покупке-продаже криптовалюты за денежные средства (белорусские рубли, иностранную валюту или электронные деньги) только у криптобирж (операторов обмена криптовалют), являющихся резидентами Парка высоких технологий, а также перечислят</w:t>
      </w:r>
      <w:r>
        <w:rPr>
          <w:szCs w:val="30"/>
        </w:rPr>
        <w:t xml:space="preserve">ь (переводить) денежные средства со своих банковских счетов, электронных кошельков исключительно указанным резидентам ПВТ. Совершение операций по купле (продаже) криптовалюты на иностранных криптобиржах и у физических лиц является незаконным и запрещается.</w:t>
      </w:r>
      <w:r/>
    </w:p>
    <w:p>
      <w:pPr>
        <w:pStyle w:val="664"/>
        <w:rPr>
          <w:szCs w:val="30"/>
        </w:rPr>
      </w:pPr>
      <w:r>
        <w:rPr>
          <w:szCs w:val="30"/>
        </w:rPr>
        <w:t xml:space="preserve">Обращаю Ваше внимание на то, что Указ № 367 не вводит запрет в отношении операций по переводу криптовалюты на зарубежные торговые площадки и не ограничива</w:t>
      </w:r>
      <w:r>
        <w:rPr>
          <w:szCs w:val="30"/>
        </w:rPr>
        <w:t xml:space="preserve">ет возможность использования физическими лицами таких площадок для совершения операций обмена (например, обмен криптовалюты одного вида на криптовалюту другого вида, торги криптовалютой), не связанных с непосредственным вводом или выводом денежных средств.</w:t>
      </w:r>
      <w:r>
        <w:rPr>
          <w:szCs w:val="30"/>
        </w:rPr>
      </w:r>
    </w:p>
    <w:p>
      <w:pPr>
        <w:pStyle w:val="664"/>
        <w:rPr>
          <w:b/>
          <w:szCs w:val="30"/>
        </w:rPr>
      </w:pPr>
      <w:r>
        <w:rPr>
          <w:b/>
          <w:szCs w:val="30"/>
        </w:rPr>
        <w:t xml:space="preserve">Таким образом, в настоящее время в Беларуси действуют следующие нормы.</w:t>
      </w:r>
      <w:r>
        <w:rPr>
          <w:b/>
          <w:szCs w:val="30"/>
        </w:rPr>
      </w:r>
    </w:p>
    <w:p>
      <w:pPr>
        <w:pStyle w:val="664"/>
      </w:pPr>
      <w:r>
        <w:rPr>
          <w:b/>
          <w:szCs w:val="30"/>
        </w:rPr>
        <w:t xml:space="preserve">Разрешено:</w:t>
      </w:r>
      <w:r>
        <w:rPr>
          <w:szCs w:val="30"/>
        </w:rPr>
        <w:t xml:space="preserve"> покупать токены (криптовалюту) за денежные средства только на белорусских криптобиржах, являющихся резидентами Парка высоких технологий;</w:t>
      </w:r>
      <w:r/>
    </w:p>
    <w:p>
      <w:pPr>
        <w:pStyle w:val="664"/>
        <w:rPr>
          <w:szCs w:val="30"/>
        </w:rPr>
      </w:pPr>
      <w:r>
        <w:rPr>
          <w:szCs w:val="30"/>
        </w:rPr>
        <w:t xml:space="preserve">обменивать токены на другие токены на любых криптоплатформах без ограничений, например, обменивать </w:t>
      </w:r>
      <w:r>
        <w:rPr>
          <w:szCs w:val="30"/>
          <w:lang w:val="en-US"/>
        </w:rPr>
        <w:t xml:space="preserve">Bitcoin</w:t>
      </w:r>
      <w:r>
        <w:rPr>
          <w:szCs w:val="30"/>
        </w:rPr>
        <w:t xml:space="preserve"> на </w:t>
      </w:r>
      <w:r>
        <w:rPr>
          <w:szCs w:val="30"/>
          <w:lang w:val="en-US"/>
        </w:rPr>
        <w:t xml:space="preserve">Ethereum</w:t>
      </w:r>
      <w:r>
        <w:rPr>
          <w:szCs w:val="30"/>
        </w:rPr>
        <w:t xml:space="preserve">.</w:t>
      </w:r>
      <w:r>
        <w:rPr>
          <w:szCs w:val="30"/>
        </w:rPr>
      </w:r>
    </w:p>
    <w:p>
      <w:pPr>
        <w:pStyle w:val="664"/>
        <w:rPr>
          <w:highlight w:val="none"/>
        </w:rPr>
      </w:pPr>
      <w:r>
        <w:rPr>
          <w:b/>
          <w:szCs w:val="30"/>
        </w:rPr>
        <w:t xml:space="preserve">Запрещено:</w:t>
      </w:r>
      <w:r>
        <w:rPr>
          <w:szCs w:val="30"/>
        </w:rPr>
        <w:t xml:space="preserve"> покупать или продавать токены (криптовалюту) за денежные средства на иностранных криптобиржах.</w:t>
      </w:r>
      <w:r/>
    </w:p>
    <w:p>
      <w:pPr>
        <w:rPr>
          <w:highlight w:val="none"/>
        </w:rPr>
      </w:pPr>
      <w:r>
        <w:rPr>
          <w:szCs w:val="30"/>
          <w:highlight w:val="none"/>
        </w:rPr>
      </w:r>
      <w:r>
        <w:rPr>
          <w:szCs w:val="30"/>
          <w:highlight w:val="none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highlight w:val="none"/>
        </w:rPr>
      </w:pPr>
      <w:r>
        <w:rPr>
          <w:rFonts w:ascii="Times New Roman" w:hAnsi="Times New Roman" w:cs="Times New Roman"/>
          <w:b/>
          <w:sz w:val="30"/>
          <w:szCs w:val="30"/>
          <w:highlight w:val="none"/>
        </w:rPr>
      </w: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31258" cy="2116599"/>
                <wp:effectExtent l="0" t="0" r="0" b="0"/>
                <wp:docPr id="10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599636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 flipH="0" flipV="0">
                          <a:off x="0" y="0"/>
                          <a:ext cx="1931257" cy="2116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152.07pt;height:166.66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/>
      <w:r>
        <w:rPr>
          <w:rFonts w:ascii="Times New Roman" w:hAnsi="Times New Roman" w:cs="Times New Roman"/>
          <w:b/>
          <w:sz w:val="30"/>
          <w:szCs w:val="30"/>
          <w:highlight w:val="none"/>
        </w:rPr>
      </w:r>
      <w:r/>
      <w:r>
        <w:rPr>
          <w:rFonts w:ascii="Times New Roman" w:hAnsi="Times New Roman" w:cs="Times New Roman"/>
          <w:b/>
          <w:sz w:val="30"/>
          <w:szCs w:val="30"/>
          <w:highlight w:val="none"/>
        </w:rPr>
      </w:r>
      <w:r/>
      <w:r>
        <w:rPr>
          <w:rFonts w:ascii="Times New Roman" w:hAnsi="Times New Roman" w:cs="Times New Roman"/>
          <w:b/>
          <w:bCs/>
          <w:sz w:val="30"/>
          <w:szCs w:val="30"/>
          <w:highlight w:val="none"/>
        </w:rPr>
      </w:r>
      <w:r>
        <w:rPr>
          <w:rFonts w:ascii="Times New Roman" w:hAnsi="Times New Roman" w:cs="Times New Roman"/>
          <w:b/>
          <w:bCs/>
          <w:sz w:val="30"/>
          <w:szCs w:val="30"/>
          <w:highlight w:val="none"/>
        </w:rPr>
      </w:r>
    </w:p>
    <w:p>
      <w:pPr>
        <w:ind w:left="0" w:right="0" w:firstLine="0"/>
        <w:jc w:val="left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highlight w:val="none"/>
        </w:rPr>
      </w:pPr>
      <w:r>
        <w:rPr>
          <w:rFonts w:ascii="Times New Roman" w:hAnsi="Times New Roman" w:cs="Times New Roman"/>
          <w:b/>
          <w:bCs/>
          <w:sz w:val="30"/>
          <w:szCs w:val="30"/>
          <w:highlight w:val="none"/>
        </w:rPr>
      </w:r>
      <w:r>
        <w:rPr>
          <w:rFonts w:ascii="Times New Roman" w:hAnsi="Times New Roman" w:cs="Times New Roman"/>
          <w:b/>
          <w:bCs/>
          <w:sz w:val="30"/>
          <w:szCs w:val="30"/>
          <w:highlight w:val="none"/>
        </w:rPr>
      </w:r>
    </w:p>
    <w:p>
      <w:pPr>
        <w:ind w:left="0" w:firstLine="0"/>
        <w:jc w:val="center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highlight w:val="none"/>
        </w:rPr>
      </w:r>
      <w:r>
        <w:rPr>
          <w:rFonts w:ascii="Times New Roman" w:hAnsi="Times New Roman" w:cs="Times New Roman"/>
          <w:b/>
          <w:sz w:val="30"/>
          <w:szCs w:val="30"/>
          <w:highlight w:val="none"/>
        </w:rPr>
        <w:t xml:space="preserve">Агрегатор мошеннических веб-ресурсов, аккаунтов в социальных сетях и мессенджерах</w:t>
      </w:r>
      <w:r>
        <w:rPr>
          <w:rFonts w:ascii="Times New Roman" w:hAnsi="Times New Roman" w:cs="Times New Roman"/>
          <w:b/>
          <w:bCs/>
          <w:sz w:val="30"/>
          <w:szCs w:val="30"/>
        </w:rPr>
      </w:r>
      <w:r>
        <w:rPr>
          <w:rFonts w:ascii="Times New Roman" w:hAnsi="Times New Roman" w:cs="Times New Roman"/>
          <w:b/>
          <w:bCs/>
          <w:sz w:val="30"/>
          <w:szCs w:val="30"/>
        </w:rPr>
      </w:r>
    </w:p>
    <w:p>
      <w:r>
        <w:rPr>
          <w:szCs w:val="30"/>
          <w:highlight w:val="none"/>
        </w:rPr>
      </w:r>
      <w:r>
        <w:rPr>
          <w:szCs w:val="30"/>
          <w:highlight w:val="non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992" w:right="424" w:bottom="680" w:left="1701" w:header="708" w:footer="708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Segoe UI">
    <w:panose1 w:val="020B0502040504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8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4"/>
    <w:next w:val="66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4"/>
    <w:next w:val="66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4"/>
    <w:next w:val="66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4"/>
    <w:next w:val="66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4"/>
    <w:next w:val="66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4"/>
    <w:next w:val="66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4"/>
    <w:next w:val="66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4"/>
    <w:next w:val="66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4"/>
    <w:next w:val="66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4"/>
    <w:next w:val="66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4"/>
    <w:next w:val="66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4"/>
    <w:next w:val="66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4"/>
    <w:next w:val="66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80"/>
    <w:uiPriority w:val="99"/>
  </w:style>
  <w:style w:type="character" w:styleId="45">
    <w:name w:val="Footer Char"/>
    <w:basedOn w:val="11"/>
    <w:link w:val="681"/>
    <w:uiPriority w:val="99"/>
  </w:style>
  <w:style w:type="character" w:styleId="47">
    <w:name w:val="Caption Char"/>
    <w:basedOn w:val="676"/>
    <w:link w:val="681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  <w:pPr>
      <w:ind w:firstLine="709"/>
      <w:jc w:val="both"/>
      <w:widowControl/>
    </w:pPr>
    <w:rPr>
      <w:rFonts w:ascii="Times New Roman" w:hAnsi="Times New Roman" w:eastAsia="Calibri" w:cs="Times New Roman"/>
      <w:color w:val="auto"/>
      <w:sz w:val="30"/>
      <w:szCs w:val="22"/>
      <w:lang w:val="ru-RU" w:eastAsia="zh-CN" w:bidi="ar-SA"/>
    </w:rPr>
  </w:style>
  <w:style w:type="character" w:styleId="665">
    <w:name w:val="WW8Num1z0"/>
    <w:qFormat/>
    <w:rPr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30"/>
      <w:szCs w:val="30"/>
      <w:u w:val="none"/>
      <w:vertAlign w:val="baseline"/>
    </w:rPr>
  </w:style>
  <w:style w:type="character" w:styleId="666">
    <w:name w:val="WW8Num2z0"/>
    <w:qFormat/>
    <w:rPr>
      <w:rFonts w:ascii="Symbol" w:hAnsi="Symbol" w:cs="Symbol"/>
    </w:rPr>
  </w:style>
  <w:style w:type="character" w:styleId="667">
    <w:name w:val="WW8Num2z1"/>
    <w:qFormat/>
    <w:rPr>
      <w:rFonts w:ascii="Courier New" w:hAnsi="Courier New" w:cs="Courier New"/>
    </w:rPr>
  </w:style>
  <w:style w:type="character" w:styleId="668">
    <w:name w:val="WW8Num2z2"/>
    <w:qFormat/>
    <w:rPr>
      <w:rFonts w:ascii="Wingdings" w:hAnsi="Wingdings" w:cs="Wingdings"/>
    </w:rPr>
  </w:style>
  <w:style w:type="character" w:styleId="669">
    <w:name w:val="Основной шрифт абзаца"/>
    <w:qFormat/>
  </w:style>
  <w:style w:type="character" w:styleId="670">
    <w:name w:val="Верхний колонтитул Знак"/>
    <w:qFormat/>
    <w:rPr>
      <w:sz w:val="30"/>
      <w:szCs w:val="22"/>
    </w:rPr>
  </w:style>
  <w:style w:type="character" w:styleId="671">
    <w:name w:val="Нижний колонтитул Знак"/>
    <w:qFormat/>
    <w:rPr>
      <w:sz w:val="30"/>
      <w:szCs w:val="22"/>
    </w:rPr>
  </w:style>
  <w:style w:type="character" w:styleId="672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673">
    <w:name w:val="Heading"/>
    <w:basedOn w:val="664"/>
    <w:next w:val="674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74">
    <w:name w:val="Body Text"/>
    <w:basedOn w:val="664"/>
    <w:pPr>
      <w:spacing w:before="0" w:after="140" w:line="276" w:lineRule="auto"/>
    </w:pPr>
  </w:style>
  <w:style w:type="paragraph" w:styleId="675">
    <w:name w:val="List"/>
    <w:basedOn w:val="674"/>
  </w:style>
  <w:style w:type="paragraph" w:styleId="676">
    <w:name w:val="Caption"/>
    <w:basedOn w:val="66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77">
    <w:name w:val="Index"/>
    <w:basedOn w:val="664"/>
    <w:qFormat/>
    <w:pPr>
      <w:suppressLineNumbers/>
    </w:pPr>
  </w:style>
  <w:style w:type="paragraph" w:styleId="678">
    <w:name w:val="Основной текст2"/>
    <w:basedOn w:val="664"/>
    <w:qFormat/>
    <w:pPr>
      <w:ind w:firstLine="0"/>
      <w:jc w:val="right"/>
      <w:spacing w:before="0" w:after="240" w:line="0" w:lineRule="atLeast"/>
      <w:shd w:val="clear" w:color="auto" w:fill="ffffff"/>
      <w:widowControl w:val="off"/>
    </w:pPr>
    <w:rPr>
      <w:rFonts w:eastAsia="Times New Roman"/>
      <w:sz w:val="28"/>
      <w:szCs w:val="28"/>
    </w:rPr>
  </w:style>
  <w:style w:type="paragraph" w:styleId="679">
    <w:name w:val="Header and Footer"/>
    <w:basedOn w:val="664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80">
    <w:name w:val="Header"/>
    <w:basedOn w:val="664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81">
    <w:name w:val="Footer"/>
    <w:basedOn w:val="664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82">
    <w:name w:val="Текст выноски"/>
    <w:basedOn w:val="664"/>
    <w:qFormat/>
    <w:rPr>
      <w:rFonts w:ascii="Segoe UI" w:hAnsi="Segoe UI" w:cs="Segoe UI"/>
      <w:sz w:val="18"/>
      <w:szCs w:val="18"/>
    </w:rPr>
  </w:style>
  <w:style w:type="paragraph" w:styleId="683">
    <w:name w:val="Frame Contents"/>
    <w:basedOn w:val="664"/>
    <w:qFormat/>
  </w:style>
  <w:style w:type="paragraph" w:styleId="684">
    <w:name w:val="Table Contents"/>
    <w:basedOn w:val="664"/>
    <w:qFormat/>
    <w:pPr>
      <w:widowControl w:val="off"/>
      <w:suppressLineNumbers/>
    </w:pPr>
  </w:style>
  <w:style w:type="paragraph" w:styleId="685">
    <w:name w:val="Table Heading"/>
    <w:basedOn w:val="684"/>
    <w:qFormat/>
    <w:pPr>
      <w:jc w:val="center"/>
      <w:suppressLineNumbers/>
    </w:pPr>
    <w:rPr>
      <w:b/>
      <w:bCs/>
    </w:rPr>
  </w:style>
  <w:style w:type="numbering" w:styleId="686">
    <w:name w:val="WW8Num1"/>
    <w:qFormat/>
  </w:style>
  <w:style w:type="numbering" w:styleId="687">
    <w:name w:val="WW8Num2"/>
    <w:qFormat/>
  </w:style>
  <w:style w:type="character" w:styleId="1154" w:default="1">
    <w:name w:val="Default Paragraph Font"/>
    <w:uiPriority w:val="1"/>
    <w:semiHidden/>
    <w:unhideWhenUsed/>
  </w:style>
  <w:style w:type="numbering" w:styleId="1155" w:default="1">
    <w:name w:val="No List"/>
    <w:uiPriority w:val="99"/>
    <w:semiHidden/>
    <w:unhideWhenUsed/>
  </w:style>
  <w:style w:type="table" w:styleId="11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Relationship Id="rId14" Type="http://schemas.openxmlformats.org/officeDocument/2006/relationships/image" Target="media/image2.jpg"/><Relationship Id="rId15" Type="http://schemas.openxmlformats.org/officeDocument/2006/relationships/image" Target="media/image3.jpg"/><Relationship Id="rId16" Type="http://schemas.openxmlformats.org/officeDocument/2006/relationships/image" Target="media/image4.jpg"/><Relationship Id="rId17" Type="http://schemas.openxmlformats.org/officeDocument/2006/relationships/image" Target="media/image5.jpg"/><Relationship Id="rId18" Type="http://schemas.openxmlformats.org/officeDocument/2006/relationships/image" Target="media/image6.jpg"/><Relationship Id="rId19" Type="http://schemas.openxmlformats.org/officeDocument/2006/relationships/image" Target="media/image7.jpg"/><Relationship Id="rId20" Type="http://schemas.openxmlformats.org/officeDocument/2006/relationships/image" Target="media/image8.jpg"/><Relationship Id="rId21" Type="http://schemas.openxmlformats.org/officeDocument/2006/relationships/image" Target="media/image9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dc:language>en-US</dc:language>
  <cp:lastModifiedBy>Dz Vazovskiy</cp:lastModifiedBy>
  <cp:revision>10</cp:revision>
  <dcterms:created xsi:type="dcterms:W3CDTF">2024-11-25T16:16:00Z</dcterms:created>
  <dcterms:modified xsi:type="dcterms:W3CDTF">2025-03-05T04:50:59Z</dcterms:modified>
</cp:coreProperties>
</file>